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26-177</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571, 572, and 579</w:t>
      </w:r>
    </w:p>
    <w:p>
      <w:pPr>
        <w:spacing w:before="0" w:after="0" w:line="480"/>
        <w:ind w:left="120"/>
        <w:jc w:val="center"/>
      </w:pPr>
      <w:r>
        <w:rPr>
          <w:rFonts w:ascii="Times New Roman" w:hAnsi="Times New Roman"/>
          <w:b w:val="false"/>
          <w:i w:val="false"/>
          <w:color w:val="000000"/>
          <w:sz w:val="24"/>
        </w:rPr>
        <w:t>“Dental Board Fees; Dental Licensure, Registration, Renewal, Reactivation</w:t>
      </w:r>
      <w:r>
        <w:br/>
      </w:r>
      <w:r>
        <w:rPr>
          <w:rFonts w:ascii="Times New Roman" w:hAnsi="Times New Roman"/>
          <w:b w:val="false"/>
          <w:i w:val="false"/>
          <w:color w:val="000000"/>
          <w:sz w:val="24"/>
        </w:rPr>
        <w:t>and Reinstatement; Sedation and Nitrous Oxide”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147, 153, and 272C</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2602, and Iowa Code chapters 147, 153,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August 12, 2026</w:t>
            </w:r>
            <w:r>
              <w:br/>
            </w:r>
            <w:r>
              <w:rPr>
                <w:rFonts w:ascii="Times New Roman" w:hAnsi="Times New Roman"/>
                <w:b w:val="false"/>
                <w:i w:val="false"/>
                <w:color w:val="000000"/>
                <w:sz w:val="14"/>
              </w:rPr>
              <w:t>12:30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Dental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Emily DeRonde</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515.249.7038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Emily.deronde@dia.iowa.gov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Board’s rules to implement 2026 Iowa Acts, House File 648. This rulemaking will allow the Board to issue a licensed sedation provider host permit to a dentist who completes a course approved by the Board within the 12 months immediately preceding the submission of the application or provides evidence that the dentist holds a substantially similar permit issued in another state. This rulemaking will allow the host permit holder to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 or monitor a patient who is at least 13 years of age who is under moderate sedation.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anticipated costs to this rulemaking other than the costs already incurred by the Board to enforce the rules. Licensed dentists may incur costs in training and licensing fees to obtain this permit.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rulemaking allows an additional pathway for dentists to employ sedation providers without requiring a full sedation permit.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payment/copayment for sedation services provided. Dentists will be responsible for obtaining the training required to hold a licensed sedation provider host permit.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Board believes that the costs are justified by the benefits achieved because the rules allow dentists to employ sedation providers without requiring a full sedation permit.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The Board would still need to review and approve training for licensed sedation provider host permits; however, the Board does not anticipate any further costs than are already incurred. The time needed to manage this provision is generally in the form of responding to questions related to practice standards and processing requests for review of training.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has no anticipated impact on State revenues. Staff salaries to support the work of the Board are covered by the Licensing and Regulation Fund. Licensing fees go to the fund to cover the operations of the regulated professional licensing boards.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is required by 2026 Iowa Acts, House File 648, to implement these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is required by House File 648 to implement these rules. The Board does not believe there is a less costly or less intrusive method to achieve the purpose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is required by House File 648 to implement these rules. The Board has not identified any alternative methods to carry out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is required by House File 648 to implement these rules. The Board has not identified any alternative methods to carry out this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amendments relate to public safety concerns that are present whether the business is a small business or a large corporation. While some dental professionals may work in a smaller dental office, some also work for large corporations, hospitals, and other dental facilities. To exempt a small business from adhering to this chapter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571.2(7)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571.2(7)</w:t>
      </w:r>
      <w:r>
        <w:rPr>
          <w:rFonts w:ascii="Times New Roman" w:hAnsi="Times New Roman"/>
          <w:b w:val="false"/>
          <w:i w:val="false"/>
          <w:color w:val="000000"/>
          <w:sz w:val="24"/>
        </w:rPr>
        <w:t> </w:t>
      </w:r>
      <w:r>
        <w:rPr>
          <w:rFonts w:ascii="Times New Roman" w:hAnsi="Times New Roman"/>
          <w:b w:val="false"/>
          <w:i/>
          <w:color w:val="000000"/>
          <w:sz w:val="24"/>
        </w:rPr>
        <w:t xml:space="preserve">Anesthesia and sedation permits. </w:t>
      </w:r>
      <w:r>
        <w:rPr>
          <w:rFonts w:ascii="Times New Roman" w:hAnsi="Times New Roman"/>
          <w:b w:val="false"/>
          <w:i w:val="false"/>
          <w:color w:val="000000"/>
          <w:sz w:val="24"/>
        </w:rPr>
        <w:t>The fees for an anesthesia or sedation permit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fee for a local anesthesia permit is $70.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fee for a moderate sedation permit is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fee for a general anesthesia permit is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application fee for a licensed sedation provider host permit is $500.</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571.3(5)</w:t>
      </w:r>
      <w:r>
        <w:rPr>
          <w:rFonts w:ascii="Times New Roman" w:hAnsi="Times New Roman"/>
          <w:b w:val="false"/>
          <w:i w:val="false"/>
          <w:color w:val="000000"/>
          <w:sz w:val="24"/>
        </w:rPr>
        <w:t xml:space="preserve"> to </w:t>
      </w:r>
      <w:r>
        <w:rPr>
          <w:rFonts w:ascii="Times New Roman" w:hAnsi="Times New Roman"/>
          <w:b/>
          <w:i w:val="false"/>
          <w:color w:val="000000"/>
          <w:sz w:val="24"/>
        </w:rPr>
        <w:t>571.3(11)</w:t>
      </w:r>
      <w:r>
        <w:rPr>
          <w:rFonts w:ascii="Times New Roman" w:hAnsi="Times New Roman"/>
          <w:b w:val="false"/>
          <w:i w:val="false"/>
          <w:color w:val="000000"/>
          <w:sz w:val="24"/>
        </w:rPr>
        <w:t xml:space="preserve"> as </w:t>
      </w:r>
      <w:r>
        <w:rPr>
          <w:rFonts w:ascii="Times New Roman" w:hAnsi="Times New Roman"/>
          <w:b/>
          <w:i w:val="false"/>
          <w:color w:val="000000"/>
          <w:sz w:val="24"/>
        </w:rPr>
        <w:t>571.3(6)</w:t>
      </w:r>
      <w:r>
        <w:rPr>
          <w:rFonts w:ascii="Times New Roman" w:hAnsi="Times New Roman"/>
          <w:b w:val="false"/>
          <w:i w:val="false"/>
          <w:color w:val="000000"/>
          <w:sz w:val="24"/>
        </w:rPr>
        <w:t xml:space="preserve"> to </w:t>
      </w:r>
      <w:r>
        <w:rPr>
          <w:rFonts w:ascii="Times New Roman" w:hAnsi="Times New Roman"/>
          <w:b/>
          <w:i w:val="false"/>
          <w:color w:val="000000"/>
          <w:sz w:val="24"/>
        </w:rPr>
        <w:t>571.3(12)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571.3(5)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571.3(5)</w:t>
      </w:r>
      <w:r>
        <w:rPr>
          <w:rFonts w:ascii="Times New Roman" w:hAnsi="Times New Roman"/>
          <w:b w:val="false"/>
          <w:i w:val="false"/>
          <w:color w:val="000000"/>
          <w:sz w:val="24"/>
        </w:rPr>
        <w:t> </w:t>
      </w:r>
      <w:r>
        <w:rPr>
          <w:rFonts w:ascii="Times New Roman" w:hAnsi="Times New Roman"/>
          <w:b w:val="false"/>
          <w:i/>
          <w:color w:val="000000"/>
          <w:sz w:val="24"/>
        </w:rPr>
        <w:t xml:space="preserve">Licensed sedation provider host permit. </w:t>
      </w:r>
      <w:r>
        <w:rPr>
          <w:rFonts w:ascii="Times New Roman" w:hAnsi="Times New Roman"/>
          <w:b w:val="false"/>
          <w:i w:val="false"/>
          <w:color w:val="000000"/>
          <w:sz w:val="24"/>
        </w:rPr>
        <w:t>The renewal fee for a licensed sedation provider host permit is $125.</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572.2(3)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572.2(3)</w:t>
      </w:r>
      <w:r>
        <w:rPr>
          <w:rFonts w:ascii="Times New Roman" w:hAnsi="Times New Roman"/>
          <w:b w:val="false"/>
          <w:i w:val="false"/>
          <w:color w:val="000000"/>
          <w:sz w:val="24"/>
        </w:rPr>
        <w:t> </w:t>
      </w:r>
      <w:r>
        <w:rPr>
          <w:rFonts w:ascii="Times New Roman" w:hAnsi="Times New Roman"/>
          <w:b w:val="false"/>
          <w:i w:val="false"/>
          <w:color w:val="000000"/>
          <w:sz w:val="24"/>
        </w:rPr>
        <w:t>Following board review and consideration of an application, the board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Authorize the issuance of the license, permit, registration or qualification;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Initiate other action in accordance with rule </w:t>
      </w:r>
      <w:hyperlink r:id="rId5">
        <w:r>
          <w:rPr>
            <w:rStyle w:val="Hyperlink"/>
            <w:rFonts w:ascii="Times New Roman" w:hAnsi="Times New Roman"/>
            <w:b w:val="false"/>
            <w:i w:val="false"/>
            <w:strike/>
            <w:color w:val="000000"/>
            <w:sz w:val="24"/>
          </w:rPr>
          <w:t>481—572.22</w:t>
        </w:r>
      </w:hyperlink>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481—572.23</w:t>
        </w:r>
      </w:hyperlink>
      <w:r>
        <w:rPr>
          <w:rFonts w:ascii="Times New Roman" w:hAnsi="Times New Roman"/>
          <w:b w:val="false"/>
          <w:i w:val="false"/>
          <w:color w:val="000000"/>
          <w:sz w:val="24"/>
        </w:rPr>
        <w:t>(147,153,272C).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paragraphs </w:t>
      </w:r>
      <w:r>
        <w:rPr>
          <w:rFonts w:ascii="Times New Roman" w:hAnsi="Times New Roman"/>
          <w:b/>
          <w:i w:val="false"/>
          <w:color w:val="000000"/>
          <w:sz w:val="24"/>
        </w:rPr>
        <w:t>572.3(2)“d”</w:t>
      </w:r>
      <w:r>
        <w:rPr>
          <w:rFonts w:ascii="Times New Roman" w:hAnsi="Times New Roman"/>
          <w:b w:val="false"/>
          <w:i w:val="false"/>
          <w:color w:val="000000"/>
          <w:sz w:val="24"/>
        </w:rPr>
        <w:t xml:space="preserve"> and </w:t>
      </w:r>
      <w:r>
        <w:rPr>
          <w:rFonts w:ascii="Times New Roman" w:hAnsi="Times New Roman"/>
          <w:b/>
          <w:i w:val="false"/>
          <w:color w:val="000000"/>
          <w:sz w:val="24"/>
        </w:rPr>
        <w:t>572.3(2)“h”</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passage of a board-approved clinical examination pursuant to rule </w:t>
      </w:r>
      <w:hyperlink r:id="rId7">
        <w:r>
          <w:rPr>
            <w:rStyle w:val="Hyperlink"/>
            <w:rFonts w:ascii="Times New Roman" w:hAnsi="Times New Roman"/>
            <w:b w:val="false"/>
            <w:i w:val="false"/>
            <w:strike/>
            <w:color w:val="000000"/>
            <w:sz w:val="24"/>
          </w:rPr>
          <w:t>481—572.14</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481—572.15</w:t>
      </w:r>
      <w:r>
        <w:rPr>
          <w:rFonts w:ascii="Times New Roman" w:hAnsi="Times New Roman"/>
          <w:b w:val="false"/>
          <w:i w:val="false"/>
          <w:color w:val="000000"/>
          <w:sz w:val="24"/>
        </w:rPr>
        <w:t>(147,153) and a statement of all other clinical examinations taken by the applicant with an indication of pass/fail for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a jurisprudence examination pursuant to rule </w:t>
      </w:r>
      <w:hyperlink r:id="rId8">
        <w:r>
          <w:rPr>
            <w:rStyle w:val="Hyperlink"/>
            <w:rFonts w:ascii="Times New Roman" w:hAnsi="Times New Roman"/>
            <w:b w:val="false"/>
            <w:i w:val="false"/>
            <w:strike/>
            <w:color w:val="000000"/>
            <w:sz w:val="24"/>
          </w:rPr>
          <w:t>481—572.15</w:t>
        </w:r>
      </w:hyperlink>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481—572.16</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572.3(3)“a”(2)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Has less than three consecutive years of practice immediately prior to the filing of the application and evidence of successful passage within the previous five-year period of a board-approved clinical examination pursuant to rule </w:t>
      </w:r>
      <w:hyperlink r:id="rId10">
        <w:r>
          <w:rPr>
            <w:rStyle w:val="Hyperlink"/>
            <w:rFonts w:ascii="Times New Roman" w:hAnsi="Times New Roman"/>
            <w:b w:val="false"/>
            <w:i w:val="false"/>
            <w:strike/>
            <w:color w:val="000000"/>
            <w:sz w:val="24"/>
          </w:rPr>
          <w:t>481—572.14</w:t>
        </w:r>
      </w:hyperlink>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481—572.15</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572.5(1)“c”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board-approved examination in the areas of infection control, hazardous materials, and jurisprudence as specified in rules </w:t>
      </w:r>
      <w:hyperlink r:id="rId12">
        <w:r>
          <w:rPr>
            <w:rStyle w:val="Hyperlink"/>
            <w:rFonts w:ascii="Times New Roman" w:hAnsi="Times New Roman"/>
            <w:b w:val="false"/>
            <w:i w:val="false"/>
            <w:strike/>
            <w:color w:val="000000"/>
            <w:sz w:val="24"/>
          </w:rPr>
          <w:t>481—572.15</w:t>
        </w:r>
      </w:hyperlink>
      <w:r>
        <w:rPr>
          <w:rFonts w:ascii="Times New Roman" w:hAnsi="Times New Roman"/>
          <w:b w:val="false"/>
          <w:i w:val="false"/>
          <w:strike/>
          <w:color w:val="000000"/>
          <w:sz w:val="24"/>
        </w:rPr>
        <w:t>(147,153) and</w:t>
      </w:r>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481—572.16</w:t>
        </w:r>
      </w:hyperlink>
      <w:r>
        <w:rPr>
          <w:rFonts w:ascii="Times New Roman" w:hAnsi="Times New Roman"/>
          <w:b w:val="false"/>
          <w:i w:val="false"/>
          <w:color w:val="000000"/>
          <w:sz w:val="24"/>
        </w:rPr>
        <w:t>(147,153)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w:t>
      </w:r>
      <w:hyperlink r:id="rId14">
        <w:r>
          <w:rPr>
            <w:rStyle w:val="Hyperlink"/>
            <w:rFonts w:ascii="Times New Roman" w:hAnsi="Times New Roman"/>
            <w:b w:val="false"/>
            <w:i w:val="false"/>
            <w:color w:val="000000"/>
            <w:sz w:val="24"/>
            <w:u w:val="single"/>
          </w:rPr>
          <w:t>481—572.17</w:t>
        </w:r>
      </w:hyperlink>
      <w:r>
        <w:rPr>
          <w:rFonts w:ascii="Times New Roman" w:hAnsi="Times New Roman"/>
          <w:b w:val="false"/>
          <w:i w:val="false"/>
          <w:color w:val="000000"/>
          <w:sz w:val="24"/>
          <w:u w:val="single"/>
        </w:rPr>
        <w:t>(147,153)</w:t>
      </w:r>
      <w:r>
        <w:rPr>
          <w:rFonts w:ascii="Times New Roman" w:hAnsi="Times New Roman"/>
          <w:b w:val="false"/>
          <w:i w:val="false"/>
          <w:color w:val="000000"/>
          <w:sz w:val="24"/>
        </w:rPr>
        <w:t>, and dental radiography, if the applicant is also applying for a qualification in dental radiography.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572.6(2)“c”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a board-approved examination in the area of dental radiography in accordance with rule </w:t>
      </w:r>
      <w:hyperlink r:id="rId15">
        <w:r>
          <w:rPr>
            <w:rStyle w:val="Hyperlink"/>
            <w:rFonts w:ascii="Times New Roman" w:hAnsi="Times New Roman"/>
            <w:b w:val="false"/>
            <w:i w:val="false"/>
            <w:strike/>
            <w:color w:val="000000"/>
            <w:sz w:val="24"/>
          </w:rPr>
          <w:t>481—572.16</w:t>
        </w:r>
      </w:hyperlink>
      <w:r>
        <w:rPr>
          <w:rFonts w:ascii="Times New Roman" w:hAnsi="Times New Roman"/>
          <w:b w:val="false"/>
          <w:i w:val="false"/>
          <w:color w:val="000000"/>
          <w:sz w:val="24"/>
          <w:u w:val="single"/>
        </w:rPr>
        <w:t> </w:t>
      </w:r>
      <w:hyperlink r:id="rId16">
        <w:r>
          <w:rPr>
            <w:rStyle w:val="Hyperlink"/>
            <w:rFonts w:ascii="Times New Roman" w:hAnsi="Times New Roman"/>
            <w:b w:val="false"/>
            <w:i w:val="false"/>
            <w:color w:val="000000"/>
            <w:sz w:val="24"/>
            <w:u w:val="single"/>
          </w:rPr>
          <w:t>481—572.17</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572.7(1)“d”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a board-approved jurisprudence examination, pursuant to rule </w:t>
      </w:r>
      <w:hyperlink r:id="rId17">
        <w:r>
          <w:rPr>
            <w:rStyle w:val="Hyperlink"/>
            <w:rFonts w:ascii="Times New Roman" w:hAnsi="Times New Roman"/>
            <w:b w:val="false"/>
            <w:i w:val="false"/>
            <w:strike/>
            <w:color w:val="000000"/>
            <w:sz w:val="24"/>
          </w:rPr>
          <w:t>481—572.15</w:t>
        </w:r>
      </w:hyperlink>
      <w:r>
        <w:rPr>
          <w:rFonts w:ascii="Times New Roman" w:hAnsi="Times New Roman"/>
          <w:b w:val="false"/>
          <w:i w:val="false"/>
          <w:color w:val="000000"/>
          <w:sz w:val="24"/>
          <w:u w:val="single"/>
        </w:rPr>
        <w:t> </w:t>
      </w:r>
      <w:hyperlink r:id="rId18">
        <w:r>
          <w:rPr>
            <w:rStyle w:val="Hyperlink"/>
            <w:rFonts w:ascii="Times New Roman" w:hAnsi="Times New Roman"/>
            <w:b w:val="false"/>
            <w:i w:val="false"/>
            <w:color w:val="000000"/>
            <w:sz w:val="24"/>
            <w:u w:val="single"/>
          </w:rPr>
          <w:t>481—572.16</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572.9(2)“g”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a jurisprudence examination pursuant to rule </w:t>
      </w:r>
      <w:hyperlink r:id="rId19">
        <w:r>
          <w:rPr>
            <w:rStyle w:val="Hyperlink"/>
            <w:rFonts w:ascii="Times New Roman" w:hAnsi="Times New Roman"/>
            <w:b w:val="false"/>
            <w:i w:val="false"/>
            <w:strike/>
            <w:color w:val="000000"/>
            <w:sz w:val="24"/>
          </w:rPr>
          <w:t>481—572.15</w:t>
        </w:r>
      </w:hyperlink>
      <w:r>
        <w:rPr>
          <w:rFonts w:ascii="Times New Roman" w:hAnsi="Times New Roman"/>
          <w:b w:val="false"/>
          <w:i w:val="false"/>
          <w:color w:val="000000"/>
          <w:sz w:val="24"/>
          <w:u w:val="single"/>
        </w:rPr>
        <w:t> </w:t>
      </w:r>
      <w:hyperlink r:id="rId20">
        <w:r>
          <w:rPr>
            <w:rStyle w:val="Hyperlink"/>
            <w:rFonts w:ascii="Times New Roman" w:hAnsi="Times New Roman"/>
            <w:b w:val="false"/>
            <w:i w:val="false"/>
            <w:color w:val="000000"/>
            <w:sz w:val="24"/>
            <w:u w:val="single"/>
          </w:rPr>
          <w:t>481—572.16</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572.9(4)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572.9(4)</w:t>
      </w:r>
      <w:r>
        <w:rPr>
          <w:rFonts w:ascii="Times New Roman" w:hAnsi="Times New Roman"/>
          <w:b w:val="false"/>
          <w:i w:val="false"/>
          <w:color w:val="000000"/>
          <w:sz w:val="24"/>
        </w:rPr>
        <w:t> </w:t>
      </w:r>
      <w:r>
        <w:rPr>
          <w:rFonts w:ascii="Times New Roman" w:hAnsi="Times New Roman"/>
          <w:b w:val="false"/>
          <w:i w:val="false"/>
          <w:color w:val="000000"/>
          <w:sz w:val="24"/>
        </w:rPr>
        <w:t xml:space="preserve">A faculty permit may be renewed in accordance with rule </w:t>
      </w:r>
      <w:hyperlink r:id="rId21">
        <w:r>
          <w:rPr>
            <w:rStyle w:val="Hyperlink"/>
            <w:rFonts w:ascii="Times New Roman" w:hAnsi="Times New Roman"/>
            <w:b w:val="false"/>
            <w:i w:val="false"/>
            <w:strike/>
            <w:color w:val="000000"/>
            <w:sz w:val="24"/>
          </w:rPr>
          <w:t>481—572.20</w:t>
        </w:r>
      </w:hyperlink>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481—572.21</w:t>
        </w:r>
      </w:hyperlink>
      <w:r>
        <w:rPr>
          <w:rFonts w:ascii="Times New Roman" w:hAnsi="Times New Roman"/>
          <w:b w:val="false"/>
          <w:i w:val="false"/>
          <w:color w:val="000000"/>
          <w:sz w:val="24"/>
        </w:rPr>
        <w:t xml:space="preserve">(147,153,272C) and </w:t>
      </w:r>
      <w:hyperlink r:id="rId23">
        <w:r>
          <w:rPr>
            <w:rStyle w:val="Hyperlink"/>
            <w:rFonts w:ascii="Times New Roman" w:hAnsi="Times New Roman"/>
            <w:b w:val="false"/>
            <w:i w:val="false"/>
            <w:color w:val="000000"/>
            <w:sz w:val="24"/>
          </w:rPr>
          <w:t>481—Chapter 573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572.10(1)“b”(2)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within the previous 36 months, of a clinical examination in the administration of local anesthesia by a testing center approved by the board in accordance with rule </w:t>
      </w:r>
      <w:hyperlink r:id="rId24">
        <w:r>
          <w:rPr>
            <w:rStyle w:val="Hyperlink"/>
            <w:rFonts w:ascii="Times New Roman" w:hAnsi="Times New Roman"/>
            <w:b w:val="false"/>
            <w:i w:val="false"/>
            <w:strike/>
            <w:color w:val="000000"/>
            <w:sz w:val="24"/>
          </w:rPr>
          <w:t>481—572.14</w:t>
        </w:r>
      </w:hyperlink>
      <w:r>
        <w:rPr>
          <w:rFonts w:ascii="Times New Roman" w:hAnsi="Times New Roman"/>
          <w:b w:val="false"/>
          <w:i w:val="false"/>
          <w:color w:val="000000"/>
          <w:sz w:val="24"/>
          <w:u w:val="single"/>
        </w:rPr>
        <w:t> </w:t>
      </w:r>
      <w:hyperlink r:id="rId25">
        <w:r>
          <w:rPr>
            <w:rStyle w:val="Hyperlink"/>
            <w:rFonts w:ascii="Times New Roman" w:hAnsi="Times New Roman"/>
            <w:b w:val="false"/>
            <w:i w:val="false"/>
            <w:color w:val="000000"/>
            <w:sz w:val="24"/>
            <w:u w:val="single"/>
          </w:rPr>
          <w:t>481—572.15</w:t>
        </w:r>
      </w:hyperlink>
      <w:r>
        <w:rPr>
          <w:rFonts w:ascii="Times New Roman" w:hAnsi="Times New Roman"/>
          <w:b w:val="false"/>
          <w:i w:val="false"/>
          <w:color w:val="000000"/>
          <w:sz w:val="24"/>
        </w:rPr>
        <w:t>(147,153); or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572.11(4)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572.11(4)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a moderate sedation or general anesthesia permit will be reviewed by the ACC or the board as deemed necessary to ensure compliance with this rule and </w:t>
      </w:r>
      <w:hyperlink r:id="rId26">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xml:space="preserve">. Following review of an application, the ACC or the board may take action, in accordance with rule </w:t>
      </w:r>
      <w:hyperlink r:id="rId27">
        <w:r>
          <w:rPr>
            <w:rStyle w:val="Hyperlink"/>
            <w:rFonts w:ascii="Times New Roman" w:hAnsi="Times New Roman"/>
            <w:b w:val="false"/>
            <w:i w:val="false"/>
            <w:strike/>
            <w:color w:val="000000"/>
            <w:sz w:val="24"/>
          </w:rPr>
          <w:t>481—572.22</w:t>
        </w:r>
      </w:hyperlink>
      <w:r>
        <w:rPr>
          <w:rFonts w:ascii="Times New Roman" w:hAnsi="Times New Roman"/>
          <w:b w:val="false"/>
          <w:i w:val="false"/>
          <w:color w:val="000000"/>
          <w:sz w:val="24"/>
          <w:u w:val="single"/>
        </w:rPr>
        <w:t> </w:t>
      </w:r>
      <w:hyperlink r:id="rId28">
        <w:r>
          <w:rPr>
            <w:rStyle w:val="Hyperlink"/>
            <w:rFonts w:ascii="Times New Roman" w:hAnsi="Times New Roman"/>
            <w:b w:val="false"/>
            <w:i w:val="false"/>
            <w:color w:val="000000"/>
            <w:sz w:val="24"/>
            <w:u w:val="single"/>
          </w:rPr>
          <w:t>481—572.23</w:t>
        </w:r>
      </w:hyperlink>
      <w:r>
        <w:rPr>
          <w:rFonts w:ascii="Times New Roman" w:hAnsi="Times New Roman"/>
          <w:b w:val="false"/>
          <w:i w:val="false"/>
          <w:color w:val="000000"/>
          <w:sz w:val="24"/>
        </w:rPr>
        <w:t>(147,153,272C).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481—572.12(153)</w:t>
      </w:r>
      <w:r>
        <w:rPr>
          <w:rFonts w:ascii="Times New Roman" w:hAnsi="Times New Roman"/>
          <w:b w:val="false"/>
          <w:i w:val="false"/>
          <w:color w:val="000000"/>
          <w:sz w:val="24"/>
        </w:rPr>
        <w:t xml:space="preserve"> to </w:t>
      </w:r>
      <w:r>
        <w:rPr>
          <w:rFonts w:ascii="Times New Roman" w:hAnsi="Times New Roman"/>
          <w:b/>
          <w:i w:val="false"/>
          <w:color w:val="000000"/>
          <w:sz w:val="24"/>
        </w:rPr>
        <w:t>481—572.22(147,153,272C)</w:t>
      </w:r>
      <w:r>
        <w:rPr>
          <w:rFonts w:ascii="Times New Roman" w:hAnsi="Times New Roman"/>
          <w:b w:val="false"/>
          <w:i w:val="false"/>
          <w:color w:val="000000"/>
          <w:sz w:val="24"/>
        </w:rPr>
        <w:t xml:space="preserve"> as </w:t>
      </w:r>
      <w:r>
        <w:rPr>
          <w:rFonts w:ascii="Times New Roman" w:hAnsi="Times New Roman"/>
          <w:b/>
          <w:i w:val="false"/>
          <w:color w:val="000000"/>
          <w:sz w:val="24"/>
        </w:rPr>
        <w:t>481—572.13(153)</w:t>
      </w:r>
      <w:r>
        <w:rPr>
          <w:rFonts w:ascii="Times New Roman" w:hAnsi="Times New Roman"/>
          <w:b w:val="false"/>
          <w:i w:val="false"/>
          <w:color w:val="000000"/>
          <w:sz w:val="24"/>
        </w:rPr>
        <w:t xml:space="preserve"> to </w:t>
      </w:r>
      <w:r>
        <w:rPr>
          <w:rFonts w:ascii="Times New Roman" w:hAnsi="Times New Roman"/>
          <w:b/>
          <w:i w:val="false"/>
          <w:color w:val="000000"/>
          <w:sz w:val="24"/>
        </w:rPr>
        <w:t>481—572.23(147,153,272C)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481—572.12(153)</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481—572.12</w:t>
      </w:r>
      <w:r>
        <w:rPr>
          <w:rFonts w:ascii="Times New Roman" w:hAnsi="Times New Roman"/>
          <w:b/>
          <w:i w:val="false"/>
          <w:color w:val="000000"/>
          <w:sz w:val="24"/>
        </w:rPr>
        <w:t xml:space="preserve">(153) </w:t>
      </w:r>
      <w:r>
        <w:rPr>
          <w:rFonts w:ascii="Times New Roman" w:hAnsi="Times New Roman"/>
          <w:b/>
          <w:i w:val="false"/>
          <w:color w:val="000000"/>
          <w:sz w:val="24"/>
        </w:rPr>
        <w:t xml:space="preserve">Requirements for issuance or renewal of a licensed sedation provider host permit. </w:t>
      </w:r>
      <w:r>
        <w:rPr>
          <w:rFonts w:ascii="Times New Roman" w:hAnsi="Times New Roman"/>
          <w:b w:val="false"/>
          <w:i w:val="false"/>
          <w:color w:val="000000"/>
          <w:sz w:val="24"/>
        </w:rPr>
        <w:t xml:space="preserve">Pursuant to </w:t>
      </w:r>
      <w:hyperlink r:id="rId29">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a dentist who wishes to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 in Iowa must possess a current permit issued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572.12(1)</w:t>
      </w:r>
      <w:r>
        <w:rPr>
          <w:rFonts w:ascii="Times New Roman" w:hAnsi="Times New Roman"/>
          <w:b w:val="false"/>
          <w:i w:val="false"/>
          <w:color w:val="000000"/>
          <w:sz w:val="24"/>
        </w:rPr>
        <w:t> </w:t>
      </w:r>
      <w:r>
        <w:rPr>
          <w:rFonts w:ascii="Times New Roman" w:hAnsi="Times New Roman"/>
          <w:b w:val="false"/>
          <w:i w:val="false"/>
          <w:color w:val="000000"/>
          <w:sz w:val="24"/>
        </w:rPr>
        <w:t>Applications for a licensed sedation provider host permit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fee specified in </w:t>
      </w:r>
      <w:hyperlink r:id="rId30">
        <w:r>
          <w:rPr>
            <w:rStyle w:val="Hyperlink"/>
            <w:rFonts w:ascii="Times New Roman" w:hAnsi="Times New Roman"/>
            <w:b w:val="false"/>
            <w:i w:val="false"/>
            <w:color w:val="000000"/>
            <w:sz w:val="24"/>
          </w:rPr>
          <w:t>481—Chapter 571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Evidence of having successfully completed, within the 12 months immediately preceding application, a board-approved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course will provide instruction and an assessment of knowledge and skill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Preoperative patient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Emergency scenarios and rescue.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Respiratory complication.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Patient safety and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Airway assessment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Anesthetic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course will ensure the course participant can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a high-risk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Differentiate between different levels of sedation.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 a patient receiving moderate sedation.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Rescue a patient from a deeper level of sedation than intended.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board shall review courses for approval on an annual basis and shall only approve a course for which the director of the course has submitted documentation indicating that the course meets the requirements of this subrule. The board may require the director of a course to participate in an interview as part of the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current Advanced Cardiac Life Support (ACLS) or Pediatric Advanced Life Support (PALS)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572.12(2)</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issuance of a new permit, all facilities where the applicant intends to provide sedation services must have passed inspection by the board or designated agent pursuant to </w:t>
      </w:r>
      <w:hyperlink r:id="rId31">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a licensed sedation provider host permit will be reviewed by the ACC or the board as deemed necessary to ensure compliance with this rule and </w:t>
      </w:r>
      <w:hyperlink r:id="rId32">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xml:space="preserve">. Following review of an application, the ACC or the board may take action in accordance with rule </w:t>
      </w:r>
      <w:hyperlink r:id="rId33">
        <w:r>
          <w:rPr>
            <w:rStyle w:val="Hyperlink"/>
            <w:rFonts w:ascii="Times New Roman" w:hAnsi="Times New Roman"/>
            <w:b w:val="false"/>
            <w:i w:val="false"/>
            <w:color w:val="000000"/>
            <w:sz w:val="24"/>
          </w:rPr>
          <w:t>481—572.23</w:t>
        </w:r>
      </w:hyperlink>
      <w:r>
        <w:rPr>
          <w:rFonts w:ascii="Times New Roman" w:hAnsi="Times New Roman"/>
          <w:b w:val="false"/>
          <w:i w:val="false"/>
          <w:color w:val="000000"/>
          <w:sz w:val="24"/>
        </w:rPr>
        <w:t>(147,153,272C).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572.12(4)</w:t>
      </w:r>
      <w:r>
        <w:rPr>
          <w:rFonts w:ascii="Times New Roman" w:hAnsi="Times New Roman"/>
          <w:b w:val="false"/>
          <w:i w:val="false"/>
          <w:color w:val="000000"/>
          <w:sz w:val="24"/>
        </w:rPr>
        <w:t> </w:t>
      </w:r>
      <w:r>
        <w:rPr>
          <w:rFonts w:ascii="Times New Roman" w:hAnsi="Times New Roman"/>
          <w:b w:val="false"/>
          <w:i w:val="false"/>
          <w:color w:val="000000"/>
          <w:sz w:val="24"/>
        </w:rPr>
        <w:t>Licensed sedation provider host permits will expire on August 31 of every even-numbered year. A permit may be renewed by submitting an application for renewal, maintaining an active Iowa dental license or faculty permit, and complying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of the renewal fee as specified in </w:t>
      </w:r>
      <w:hyperlink r:id="rId34">
        <w:r>
          <w:rPr>
            <w:rStyle w:val="Hyperlink"/>
            <w:rFonts w:ascii="Times New Roman" w:hAnsi="Times New Roman"/>
            <w:b w:val="false"/>
            <w:i w:val="false"/>
            <w:color w:val="000000"/>
            <w:sz w:val="24"/>
          </w:rPr>
          <w:t>481—Chapter 571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Evidence of current ACLS or PALS certification;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a minimum of six hours of continuing education in the area of sedation. These hours may also be applied toward the renewal of a dental license or faculty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572.12(5)</w:t>
      </w:r>
      <w:r>
        <w:rPr>
          <w:rFonts w:ascii="Times New Roman" w:hAnsi="Times New Roman"/>
          <w:b w:val="false"/>
          <w:i w:val="false"/>
          <w:color w:val="000000"/>
          <w:sz w:val="24"/>
        </w:rPr>
        <w:t> </w:t>
      </w:r>
      <w:r>
        <w:rPr>
          <w:rFonts w:ascii="Times New Roman" w:hAnsi="Times New Roman"/>
          <w:b w:val="false"/>
          <w:i w:val="false"/>
          <w:color w:val="000000"/>
          <w:sz w:val="24"/>
        </w:rPr>
        <w:t>Failure to renew the permit prior to November 1 following its expiration will cause the permit to lapse and become invalid for practice. Permits that have lapsed may be reactivated upon submission of a new application in compliance with this rule. Applications for reactivation of a lapsed permit within six months may be administratively approved, so long as the application satisfies the requirements of this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147.10</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147.11</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272C.3</w:t>
        </w:r>
      </w:hyperlink>
      <w:r>
        <w:rPr>
          <w:rFonts w:ascii="Times New Roman" w:hAnsi="Times New Roman"/>
          <w:b w:val="false"/>
          <w:i w:val="false"/>
          <w:color w:val="000000"/>
          <w:sz w:val="24"/>
        </w:rPr>
        <w:t xml:space="preserve"> and chapter 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572.22(1)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572.22(1)</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dental assistant or licensed nurse whose radiography qualification has lapsed may have the radiography qualification reactivated at the discretion of the board. In addition to the application requirements specified in rule </w:t>
      </w:r>
      <w:hyperlink r:id="rId38">
        <w:r>
          <w:rPr>
            <w:rStyle w:val="Hyperlink"/>
            <w:rFonts w:ascii="Times New Roman" w:hAnsi="Times New Roman"/>
            <w:b w:val="false"/>
            <w:i w:val="false"/>
            <w:strike/>
            <w:color w:val="000000"/>
            <w:sz w:val="24"/>
          </w:rPr>
          <w:t>481—572.20</w:t>
        </w:r>
      </w:hyperlink>
      <w:r>
        <w:rPr>
          <w:rFonts w:ascii="Times New Roman" w:hAnsi="Times New Roman"/>
          <w:b w:val="false"/>
          <w:i w:val="false"/>
          <w:color w:val="000000"/>
          <w:sz w:val="24"/>
          <w:u w:val="single"/>
        </w:rPr>
        <w:t> </w:t>
      </w:r>
      <w:hyperlink r:id="rId39">
        <w:r>
          <w:rPr>
            <w:rStyle w:val="Hyperlink"/>
            <w:rFonts w:ascii="Times New Roman" w:hAnsi="Times New Roman"/>
            <w:b w:val="false"/>
            <w:i w:val="false"/>
            <w:color w:val="000000"/>
            <w:sz w:val="24"/>
            <w:u w:val="single"/>
          </w:rPr>
          <w:t>481—572.21</w:t>
        </w:r>
      </w:hyperlink>
      <w:r>
        <w:rPr>
          <w:rFonts w:ascii="Times New Roman" w:hAnsi="Times New Roman"/>
          <w:b w:val="false"/>
          <w:i w:val="false"/>
          <w:color w:val="000000"/>
          <w:sz w:val="24"/>
        </w:rPr>
        <w:t>(147,153,272C), applicants for reactivation must also submit evidence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481—579.6(153)</w:t>
      </w:r>
      <w:r>
        <w:rPr>
          <w:rFonts w:ascii="Times New Roman" w:hAnsi="Times New Roman"/>
          <w:b w:val="false"/>
          <w:i w:val="false"/>
          <w:color w:val="000000"/>
          <w:sz w:val="24"/>
        </w:rPr>
        <w:t xml:space="preserve"> to </w:t>
      </w:r>
      <w:r>
        <w:rPr>
          <w:rFonts w:ascii="Times New Roman" w:hAnsi="Times New Roman"/>
          <w:b/>
          <w:i w:val="false"/>
          <w:color w:val="000000"/>
          <w:sz w:val="24"/>
        </w:rPr>
        <w:t>481—579.11(153)</w:t>
      </w:r>
      <w:r>
        <w:rPr>
          <w:rFonts w:ascii="Times New Roman" w:hAnsi="Times New Roman"/>
          <w:b w:val="false"/>
          <w:i w:val="false"/>
          <w:color w:val="000000"/>
          <w:sz w:val="24"/>
        </w:rPr>
        <w:t xml:space="preserve"> as </w:t>
      </w:r>
      <w:r>
        <w:rPr>
          <w:rFonts w:ascii="Times New Roman" w:hAnsi="Times New Roman"/>
          <w:b/>
          <w:i w:val="false"/>
          <w:color w:val="000000"/>
          <w:sz w:val="24"/>
        </w:rPr>
        <w:t>481—579.7(153)</w:t>
      </w:r>
      <w:r>
        <w:rPr>
          <w:rFonts w:ascii="Times New Roman" w:hAnsi="Times New Roman"/>
          <w:b w:val="false"/>
          <w:i w:val="false"/>
          <w:color w:val="000000"/>
          <w:sz w:val="24"/>
        </w:rPr>
        <w:t xml:space="preserve"> to </w:t>
      </w:r>
      <w:r>
        <w:rPr>
          <w:rFonts w:ascii="Times New Roman" w:hAnsi="Times New Roman"/>
          <w:b/>
          <w:i w:val="false"/>
          <w:color w:val="000000"/>
          <w:sz w:val="24"/>
        </w:rPr>
        <w:t>481—579.12(153)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481—579.6(153)</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481—579.6</w:t>
      </w:r>
      <w:r>
        <w:rPr>
          <w:rFonts w:ascii="Times New Roman" w:hAnsi="Times New Roman"/>
          <w:b/>
          <w:i w:val="false"/>
          <w:color w:val="000000"/>
          <w:sz w:val="24"/>
        </w:rPr>
        <w:t xml:space="preserve">(153) </w:t>
      </w:r>
      <w:r>
        <w:rPr>
          <w:rFonts w:ascii="Times New Roman" w:hAnsi="Times New Roman"/>
          <w:b/>
          <w:i w:val="false"/>
          <w:color w:val="000000"/>
          <w:sz w:val="24"/>
        </w:rPr>
        <w:t xml:space="preserve">Licensed sedation provider host permit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579.6(1)</w:t>
      </w:r>
      <w:r>
        <w:rPr>
          <w:rFonts w:ascii="Times New Roman" w:hAnsi="Times New Roman"/>
          <w:b w:val="false"/>
          <w:i w:val="false"/>
          <w:color w:val="000000"/>
          <w:sz w:val="24"/>
        </w:rPr>
        <w:t> </w:t>
      </w:r>
      <w:r>
        <w:rPr>
          <w:rFonts w:ascii="Times New Roman" w:hAnsi="Times New Roman"/>
          <w:b w:val="false"/>
          <w:i w:val="false"/>
          <w:color w:val="000000"/>
          <w:sz w:val="24"/>
        </w:rPr>
        <w:t>A dentist who does not meet the requirements of rule </w:t>
      </w:r>
      <w:hyperlink r:id="rId40">
        <w:r>
          <w:rPr>
            <w:rStyle w:val="Hyperlink"/>
            <w:rFonts w:ascii="Times New Roman" w:hAnsi="Times New Roman"/>
            <w:b w:val="false"/>
            <w:i w:val="false"/>
            <w:color w:val="000000"/>
            <w:sz w:val="24"/>
          </w:rPr>
          <w:t>481—572.12</w:t>
        </w:r>
      </w:hyperlink>
      <w:r>
        <w:rPr>
          <w:rFonts w:ascii="Times New Roman" w:hAnsi="Times New Roman"/>
          <w:b w:val="false"/>
          <w:i w:val="false"/>
          <w:color w:val="000000"/>
          <w:sz w:val="24"/>
        </w:rPr>
        <w:t>(153) will not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579.6(2)</w:t>
      </w:r>
      <w:r>
        <w:rPr>
          <w:rFonts w:ascii="Times New Roman" w:hAnsi="Times New Roman"/>
          <w:b w:val="false"/>
          <w:i w:val="false"/>
          <w:color w:val="000000"/>
          <w:sz w:val="24"/>
        </w:rPr>
        <w:t> </w:t>
      </w:r>
      <w:r>
        <w:rPr>
          <w:rFonts w:ascii="Times New Roman" w:hAnsi="Times New Roman"/>
          <w:b w:val="false"/>
          <w:i w:val="false"/>
          <w:color w:val="000000"/>
          <w:sz w:val="24"/>
        </w:rPr>
        <w:t>A dentist with a licensed sedation provider host permit must maintain current ACLS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579.6(3)</w:t>
      </w:r>
      <w:r>
        <w:rPr>
          <w:rFonts w:ascii="Times New Roman" w:hAnsi="Times New Roman"/>
          <w:b w:val="false"/>
          <w:i w:val="false"/>
          <w:color w:val="000000"/>
          <w:sz w:val="24"/>
        </w:rPr>
        <w:t> </w:t>
      </w:r>
      <w:r>
        <w:rPr>
          <w:rFonts w:ascii="Times New Roman" w:hAnsi="Times New Roman"/>
          <w:b w:val="false"/>
          <w:i w:val="false"/>
          <w:color w:val="000000"/>
          <w:sz w:val="24"/>
        </w:rPr>
        <w:t>A dentist with a host permit may monitor a patient who is at least 13 years of age who is under moderate sedation.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subrules </w:t>
      </w:r>
      <w:r>
        <w:rPr>
          <w:rFonts w:ascii="Times New Roman" w:hAnsi="Times New Roman"/>
          <w:b w:val="false"/>
          <w:i w:val="false"/>
          <w:color w:val="000000"/>
          <w:sz w:val="24"/>
        </w:rPr>
        <w:t>579.9(2)</w:t>
      </w:r>
      <w:r>
        <w:rPr>
          <w:rFonts w:ascii="Times New Roman" w:hAnsi="Times New Roman"/>
          <w:b w:val="false"/>
          <w:i w:val="false"/>
          <w:color w:val="000000"/>
          <w:sz w:val="24"/>
        </w:rPr>
        <w:t xml:space="preserve"> to </w:t>
      </w:r>
      <w:r>
        <w:rPr>
          <w:rFonts w:ascii="Times New Roman" w:hAnsi="Times New Roman"/>
          <w:b w:val="false"/>
          <w:i w:val="false"/>
          <w:color w:val="000000"/>
          <w:sz w:val="24"/>
        </w:rPr>
        <w:t>579.9(4)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579.9(2)</w:t>
      </w:r>
      <w:r>
        <w:rPr>
          <w:rFonts w:ascii="Times New Roman" w:hAnsi="Times New Roman"/>
          <w:b w:val="false"/>
          <w:i w:val="false"/>
          <w:color w:val="000000"/>
          <w:sz w:val="24"/>
        </w:rPr>
        <w:t> </w:t>
      </w:r>
      <w:r>
        <w:rPr>
          <w:rFonts w:ascii="Times New Roman" w:hAnsi="Times New Roman"/>
          <w:b w:val="false"/>
          <w:i w:val="false"/>
          <w:color w:val="000000"/>
          <w:sz w:val="24"/>
        </w:rPr>
        <w:t>A dentist may only administer moderate sedation or anesthesia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use another licensed sedation provider or permit holder</w:t>
      </w:r>
      <w:r>
        <w:rPr>
          <w:rFonts w:ascii="Times New Roman" w:hAnsi="Times New Roman"/>
          <w:b w:val="false"/>
          <w:i w:val="false"/>
          <w:color w:val="000000"/>
          <w:sz w:val="24"/>
        </w:rPr>
        <w:t xml:space="preserve"> in a facility that is permanently and properly equipped. A dentist is required to be trained in and maintain, at a minimum, the following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drugs, in accordance with subrule </w:t>
      </w:r>
      <w:hyperlink r:id="rId41">
        <w:r>
          <w:rPr>
            <w:rStyle w:val="Hyperlink"/>
            <w:rFonts w:ascii="Times New Roman" w:hAnsi="Times New Roman"/>
            <w:b w:val="false"/>
            <w:i w:val="false"/>
            <w:strike/>
            <w:color w:val="000000"/>
            <w:sz w:val="24"/>
          </w:rPr>
          <w:t>579.8(3)</w:t>
        </w:r>
      </w:hyperlink>
      <w:r>
        <w:rPr>
          <w:rFonts w:ascii="Times New Roman" w:hAnsi="Times New Roman"/>
          <w:b w:val="false"/>
          <w:i w:val="false"/>
          <w:color w:val="000000"/>
          <w:sz w:val="24"/>
          <w:u w:val="single"/>
        </w:rPr>
        <w:t> </w:t>
      </w:r>
      <w:hyperlink r:id="rId42">
        <w:r>
          <w:rPr>
            <w:rStyle w:val="Hyperlink"/>
            <w:rFonts w:ascii="Times New Roman" w:hAnsi="Times New Roman"/>
            <w:b w:val="false"/>
            <w:i w:val="false"/>
            <w:color w:val="000000"/>
            <w:sz w:val="24"/>
            <w:u w:val="single"/>
          </w:rPr>
          <w:t>579.9(3)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579.9(3)</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paragraph </w:t>
      </w:r>
      <w:hyperlink r:id="rId43">
        <w:r>
          <w:rPr>
            <w:rStyle w:val="Hyperlink"/>
            <w:rFonts w:ascii="Times New Roman" w:hAnsi="Times New Roman"/>
            <w:b w:val="false"/>
            <w:i w:val="false"/>
            <w:strike/>
            <w:color w:val="000000"/>
            <w:sz w:val="24"/>
          </w:rPr>
          <w:t>579.8(2)</w:t>
        </w:r>
      </w:hyperlink>
      <w:r>
        <w:rPr>
          <w:rFonts w:ascii="Times New Roman" w:hAnsi="Times New Roman"/>
          <w:b w:val="false"/>
          <w:i w:val="false"/>
          <w:color w:val="000000"/>
          <w:sz w:val="24"/>
          <w:u w:val="single"/>
        </w:rPr>
        <w:t> </w:t>
      </w:r>
      <w:hyperlink r:id="rId44">
        <w:r>
          <w:rPr>
            <w:rStyle w:val="Hyperlink"/>
            <w:rFonts w:ascii="Times New Roman" w:hAnsi="Times New Roman"/>
            <w:b w:val="false"/>
            <w:i w:val="false"/>
            <w:color w:val="000000"/>
            <w:sz w:val="24"/>
            <w:u w:val="single"/>
          </w:rPr>
          <w:t>579.9(2)</w:t>
        </w:r>
      </w:hyperlink>
      <w:r>
        <w:rPr>
          <w:rFonts w:ascii="Times New Roman" w:hAnsi="Times New Roman"/>
          <w:b w:val="false"/>
          <w:i/>
          <w:color w:val="000000"/>
          <w:sz w:val="24"/>
        </w:rPr>
        <w:t>“k,”</w:t>
      </w:r>
      <w:r>
        <w:rPr>
          <w:rFonts w:ascii="Times New Roman" w:hAnsi="Times New Roman"/>
          <w:b w:val="false"/>
          <w:i w:val="false"/>
          <w:color w:val="000000"/>
          <w:sz w:val="24"/>
        </w:rPr>
        <w:t xml:space="preserve"> a dentist providing sedation at a dental facility is required to maintain on site emergency drugs that meet the needs of the following categories. At a minimum, a dentist providing moderate sedation shall maintain emergency drugs specified in paragraphs </w:t>
      </w:r>
      <w:hyperlink r:id="rId45">
        <w:r>
          <w:rPr>
            <w:rStyle w:val="Hyperlink"/>
            <w:rFonts w:ascii="Times New Roman" w:hAnsi="Times New Roman"/>
            <w:b w:val="false"/>
            <w:i w:val="false"/>
            <w:strike/>
            <w:color w:val="000000"/>
            <w:sz w:val="24"/>
          </w:rPr>
          <w:t>579.8(3)</w:t>
        </w:r>
      </w:hyperlink>
      <w:r>
        <w:rPr>
          <w:rFonts w:ascii="Times New Roman" w:hAnsi="Times New Roman"/>
          <w:b w:val="false"/>
          <w:i w:val="false"/>
          <w:color w:val="000000"/>
          <w:sz w:val="24"/>
          <w:u w:val="single"/>
        </w:rPr>
        <w:t> </w:t>
      </w:r>
      <w:hyperlink r:id="rId46">
        <w:r>
          <w:rPr>
            <w:rStyle w:val="Hyperlink"/>
            <w:rFonts w:ascii="Times New Roman" w:hAnsi="Times New Roman"/>
            <w:b w:val="false"/>
            <w:i w:val="false"/>
            <w:color w:val="000000"/>
            <w:sz w:val="24"/>
            <w:u w:val="single"/>
          </w:rPr>
          <w:t>579.9(3)</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A dentist providing deep sedation or general anesthesia shall maintain emergency drugs for all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579.9(4)</w:t>
      </w:r>
      <w:r>
        <w:rPr>
          <w:rFonts w:ascii="Times New Roman" w:hAnsi="Times New Roman"/>
          <w:b w:val="false"/>
          <w:i w:val="false"/>
          <w:color w:val="000000"/>
          <w:sz w:val="24"/>
        </w:rPr>
        <w:t> </w:t>
      </w:r>
      <w:r>
        <w:rPr>
          <w:rFonts w:ascii="Times New Roman" w:hAnsi="Times New Roman"/>
          <w:b w:val="false"/>
          <w:i w:val="false"/>
          <w:color w:val="000000"/>
          <w:sz w:val="24"/>
        </w:rPr>
        <w:t>The board or its designated agents may conduct facility inspections. A facility inspection may be required before a sedation permit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host permit</w:t>
      </w:r>
      <w:r>
        <w:rPr>
          <w:rFonts w:ascii="Times New Roman" w:hAnsi="Times New Roman"/>
          <w:b w:val="false"/>
          <w:i w:val="false"/>
          <w:color w:val="000000"/>
          <w:sz w:val="24"/>
        </w:rPr>
        <w:t xml:space="preserve"> is issued or before sedation services are provided at a new or updated facility. The actual costs associated with the on-site evaluation of the facility are the primary responsibility of the licensee. The cost to the licensee will not exceed the fee specified in </w:t>
      </w:r>
      <w:hyperlink r:id="rId47">
        <w:r>
          <w:rPr>
            <w:rStyle w:val="Hyperlink"/>
            <w:rFonts w:ascii="Times New Roman" w:hAnsi="Times New Roman"/>
            <w:b w:val="false"/>
            <w:i w:val="false"/>
            <w:color w:val="000000"/>
            <w:sz w:val="24"/>
          </w:rPr>
          <w:t>481—Chapter 571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481—579.10(153)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481—579.10</w:t>
      </w:r>
      <w:r>
        <w:rPr>
          <w:rFonts w:ascii="Times New Roman" w:hAnsi="Times New Roman"/>
          <w:b/>
          <w:i w:val="false"/>
          <w:color w:val="000000"/>
          <w:sz w:val="24"/>
        </w:rPr>
        <w:t xml:space="preserve">(153) </w:t>
      </w:r>
      <w:r>
        <w:rPr>
          <w:rFonts w:ascii="Times New Roman" w:hAnsi="Times New Roman"/>
          <w:b/>
          <w:i w:val="false"/>
          <w:color w:val="000000"/>
          <w:sz w:val="24"/>
        </w:rPr>
        <w:t xml:space="preserve">Use of another licensed sedation provider or permit holder.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579.10(1)</w:t>
      </w:r>
      <w:r>
        <w:rPr>
          <w:rFonts w:ascii="Times New Roman" w:hAnsi="Times New Roman"/>
          <w:b w:val="false"/>
          <w:i w:val="false"/>
          <w:color w:val="000000"/>
          <w:sz w:val="24"/>
        </w:rPr>
        <w:t> </w:t>
      </w:r>
      <w:r>
        <w:rPr>
          <w:rFonts w:ascii="Times New Roman" w:hAnsi="Times New Roman"/>
          <w:b w:val="false"/>
          <w:i w:val="false"/>
          <w:color w:val="000000"/>
          <w:sz w:val="24"/>
        </w:rPr>
        <w:t>A dentist may only use the services of a licensed sedation provider or another permit holder to administer moderate sedation, deep sedation or general anesthesia in a dental facility if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dentist holds a current moderate sedation or general anesthesia permit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 licensed sedation provider host permit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 permit holder who does not meet the training requirement to administer moderate sedation to pediatric or ASA III or IV patients as stipulated in </w:t>
      </w:r>
      <w:hyperlink r:id="rId48">
        <w:r>
          <w:rPr>
            <w:rStyle w:val="Hyperlink"/>
            <w:rFonts w:ascii="Times New Roman" w:hAnsi="Times New Roman"/>
            <w:b w:val="false"/>
            <w:i w:val="false"/>
            <w:strike/>
            <w:color w:val="000000"/>
            <w:sz w:val="24"/>
          </w:rPr>
          <w:t>481—subparagraph 572.11(1)</w:t>
        </w:r>
      </w:hyperlink>
      <w:r>
        <w:rPr>
          <w:rFonts w:ascii="Times New Roman" w:hAnsi="Times New Roman"/>
          <w:b w:val="false"/>
          <w:i/>
          <w:strike/>
          <w:color w:val="000000"/>
          <w:sz w:val="24"/>
        </w:rPr>
        <w:t>“b”</w:t>
      </w:r>
      <w:r>
        <w:rPr>
          <w:rFonts w:ascii="Times New Roman" w:hAnsi="Times New Roman"/>
          <w:b w:val="false"/>
          <w:i w:val="false"/>
          <w:strike/>
          <w:color w:val="000000"/>
          <w:sz w:val="24"/>
        </w:rPr>
        <w:t xml:space="preserve">(3)  may use another licensed sedation provider or qualified permit holder to administer moderate sedation to pediatric or ASA III or IV patients.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moderate sedation or general anesthesia permit holder who does not meet the training requirement to administer moderate sedation to pediatric or ASA III or IV patients as stipulated in </w:t>
      </w:r>
      <w:hyperlink r:id="rId49">
        <w:r>
          <w:rPr>
            <w:rStyle w:val="Hyperlink"/>
            <w:rFonts w:ascii="Times New Roman" w:hAnsi="Times New Roman"/>
            <w:b w:val="false"/>
            <w:i w:val="false"/>
            <w:color w:val="000000"/>
            <w:sz w:val="24"/>
            <w:u w:val="single"/>
          </w:rPr>
          <w:t>481—subparagraph 572.11(1)</w:t>
        </w:r>
      </w:hyperlink>
      <w:r>
        <w:rPr>
          <w:rFonts w:ascii="Times New Roman" w:hAnsi="Times New Roman"/>
          <w:b w:val="false"/>
          <w:i/>
          <w:color w:val="000000"/>
          <w:sz w:val="24"/>
          <w:u w:val="single"/>
        </w:rPr>
        <w:t>“b”</w:t>
      </w:r>
      <w:r>
        <w:rPr>
          <w:rFonts w:ascii="Times New Roman" w:hAnsi="Times New Roman"/>
          <w:b w:val="false"/>
          <w:i w:val="false"/>
          <w:color w:val="000000"/>
          <w:sz w:val="24"/>
          <w:u w:val="single"/>
        </w:rPr>
        <w:t>(3)  may use another licensed sedation provider or qualified permit holder to administer moderate sedation to pediatric or ASA III or IV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licensed sedation provider host permit holder may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dentist remains present in the treatment room for the duration of any dental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is a permanently and properly equipped facility pursuant to the provisions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permit holder assesses the need and patient suitability for sedation services. A permit holder </w:t>
      </w:r>
      <w:r>
        <w:rPr>
          <w:rFonts w:ascii="Times New Roman" w:hAnsi="Times New Roman"/>
          <w:b w:val="false"/>
          <w:i w:val="false"/>
          <w:strike/>
          <w:color w:val="000000"/>
          <w:sz w:val="24"/>
        </w:rPr>
        <w:t>may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w:t>
      </w:r>
      <w:r>
        <w:rPr>
          <w:rFonts w:ascii="Times New Roman" w:hAnsi="Times New Roman"/>
          <w:b w:val="false"/>
          <w:i w:val="false"/>
          <w:color w:val="000000"/>
          <w:sz w:val="24"/>
        </w:rPr>
        <w:t xml:space="preserve"> not interfere with any independent assessment performed by a licensed sedation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579.10(2)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licensed sedation provider or another permit holder is used to administer moderate sedation, deep sedation or general anesthesia, that provider constitutes one patient monitor for the purpose of complying with rule </w:t>
      </w:r>
      <w:hyperlink r:id="rId50">
        <w:r>
          <w:rPr>
            <w:rStyle w:val="Hyperlink"/>
            <w:rFonts w:ascii="Times New Roman" w:hAnsi="Times New Roman"/>
            <w:b w:val="false"/>
            <w:i w:val="false"/>
            <w:strike/>
            <w:color w:val="000000"/>
            <w:sz w:val="24"/>
          </w:rPr>
          <w:t>481—579.6</w:t>
        </w:r>
      </w:hyperlink>
      <w:r>
        <w:rPr>
          <w:rFonts w:ascii="Times New Roman" w:hAnsi="Times New Roman"/>
          <w:b w:val="false"/>
          <w:i w:val="false"/>
          <w:color w:val="000000"/>
          <w:sz w:val="24"/>
          <w:u w:val="single"/>
        </w:rPr>
        <w:t> </w:t>
      </w:r>
      <w:hyperlink r:id="rId51">
        <w:r>
          <w:rPr>
            <w:rStyle w:val="Hyperlink"/>
            <w:rFonts w:ascii="Times New Roman" w:hAnsi="Times New Roman"/>
            <w:b w:val="false"/>
            <w:i w:val="false"/>
            <w:color w:val="000000"/>
            <w:sz w:val="24"/>
            <w:u w:val="single"/>
          </w:rPr>
          <w:t>481—579.7</w:t>
        </w:r>
      </w:hyperlink>
      <w:r>
        <w:rPr>
          <w:rFonts w:ascii="Times New Roman" w:hAnsi="Times New Roman"/>
          <w:b w:val="false"/>
          <w:i w:val="false"/>
          <w:color w:val="000000"/>
          <w:sz w:val="24"/>
        </w:rPr>
        <w:t>(153).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579.10(3)</w:t>
      </w:r>
      <w:r>
        <w:rPr>
          <w:rFonts w:ascii="Times New Roman" w:hAnsi="Times New Roman"/>
          <w:b w:val="false"/>
          <w:i w:val="false"/>
          <w:color w:val="000000"/>
          <w:sz w:val="24"/>
        </w:rPr>
        <w:t> </w:t>
      </w:r>
      <w:r>
        <w:rPr>
          <w:rFonts w:ascii="Times New Roman" w:hAnsi="Times New Roman"/>
          <w:b w:val="false"/>
          <w:i w:val="false"/>
          <w:color w:val="000000"/>
          <w:sz w:val="24"/>
        </w:rPr>
        <w:t>A dentist who does not hold a sedation permit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 licensed sedation provider host permit</w:t>
      </w:r>
      <w:r>
        <w:rPr>
          <w:rFonts w:ascii="Times New Roman" w:hAnsi="Times New Roman"/>
          <w:b w:val="false"/>
          <w:i w:val="false"/>
          <w:color w:val="000000"/>
          <w:sz w:val="24"/>
        </w:rPr>
        <w:t xml:space="preserve"> is prohibited from using a licensed sedation provider or permit holder to provide moderate sedation, deep sedation or general anesthesia.</w:t>
      </w:r>
    </w:p>
    <w:p>
      <w:pPr>
        <w:spacing w:before="0" w:after="0" w:line="240"/>
        <w:ind w:left="120"/>
        <w:jc w:val="both"/>
      </w:pPr>
    </w:p>
    <w:sectPr>
      <w:footerReference r:id="rId52"/>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Emily.deronde@dia.iowa.gov" Type="http://schemas.openxmlformats.org/officeDocument/2006/relationships/hyperlink" Id="rId4"/>
    <Relationship TargetMode="External" Target="https://www.legis.iowa.gov/docs/iac/rule/481.572.22.pdf" Type="http://schemas.openxmlformats.org/officeDocument/2006/relationships/hyperlink" Id="rId5"/>
    <Relationship TargetMode="External" Target="https://www.legis.iowa.gov/docs/iac/rule/481.572.23.pdf" Type="http://schemas.openxmlformats.org/officeDocument/2006/relationships/hyperlink" Id="rId6"/>
    <Relationship TargetMode="External" Target="https://www.legis.iowa.gov/docs/iac/rule/481.572.14.pdf" Type="http://schemas.openxmlformats.org/officeDocument/2006/relationships/hyperlink" Id="rId7"/>
    <Relationship TargetMode="External" Target="https://www.legis.iowa.gov/docs/iac/rule/481.572.15.pdf" Type="http://schemas.openxmlformats.org/officeDocument/2006/relationships/hyperlink" Id="rId8"/>
    <Relationship TargetMode="External" Target="https://www.legis.iowa.gov/docs/iac/rule/481.572.16.pdf" Type="http://schemas.openxmlformats.org/officeDocument/2006/relationships/hyperlink" Id="rId9"/>
    <Relationship TargetMode="External" Target="https://www.legis.iowa.gov/docs/iac/rule/481.572.14.pdf" Type="http://schemas.openxmlformats.org/officeDocument/2006/relationships/hyperlink" Id="rId10"/>
    <Relationship TargetMode="External" Target="https://www.legis.iowa.gov/docs/iac/rule/481.572.15.pdf" Type="http://schemas.openxmlformats.org/officeDocument/2006/relationships/hyperlink" Id="rId11"/>
    <Relationship TargetMode="External" Target="https://www.legis.iowa.gov/docs/iac/rule/481.572.15.pdf" Type="http://schemas.openxmlformats.org/officeDocument/2006/relationships/hyperlink" Id="rId12"/>
    <Relationship TargetMode="External" Target="https://www.legis.iowa.gov/docs/iac/rule/481.572.16.pdf" Type="http://schemas.openxmlformats.org/officeDocument/2006/relationships/hyperlink" Id="rId13"/>
    <Relationship TargetMode="External" Target="https://www.legis.iowa.gov/docs/iac/rule/481.572.17.pdf" Type="http://schemas.openxmlformats.org/officeDocument/2006/relationships/hyperlink" Id="rId14"/>
    <Relationship TargetMode="External" Target="https://www.legis.iowa.gov/docs/iac/rule/481.572.16.pdf" Type="http://schemas.openxmlformats.org/officeDocument/2006/relationships/hyperlink" Id="rId15"/>
    <Relationship TargetMode="External" Target="https://www.legis.iowa.gov/docs/iac/rule/481.572.17.pdf" Type="http://schemas.openxmlformats.org/officeDocument/2006/relationships/hyperlink" Id="rId16"/>
    <Relationship TargetMode="External" Target="https://www.legis.iowa.gov/docs/iac/rule/481.572.15.pdf" Type="http://schemas.openxmlformats.org/officeDocument/2006/relationships/hyperlink" Id="rId17"/>
    <Relationship TargetMode="External" Target="https://www.legis.iowa.gov/docs/iac/rule/481.572.16.pdf" Type="http://schemas.openxmlformats.org/officeDocument/2006/relationships/hyperlink" Id="rId18"/>
    <Relationship TargetMode="External" Target="https://www.legis.iowa.gov/docs/iac/rule/481.572.15.pdf" Type="http://schemas.openxmlformats.org/officeDocument/2006/relationships/hyperlink" Id="rId19"/>
    <Relationship TargetMode="External" Target="https://www.legis.iowa.gov/docs/iac/rule/481.572.16.pdf" Type="http://schemas.openxmlformats.org/officeDocument/2006/relationships/hyperlink" Id="rId20"/>
    <Relationship TargetMode="External" Target="https://www.legis.iowa.gov/docs/iac/rule/481.572.20.pdf" Type="http://schemas.openxmlformats.org/officeDocument/2006/relationships/hyperlink" Id="rId21"/>
    <Relationship TargetMode="External" Target="https://www.legis.iowa.gov/docs/iac/rule/481.572.21.pdf" Type="http://schemas.openxmlformats.org/officeDocument/2006/relationships/hyperlink" Id="rId22"/>
    <Relationship TargetMode="External" Target="https://www.legis.iowa.gov/docs/iac/chapter/481.573.pdf" Type="http://schemas.openxmlformats.org/officeDocument/2006/relationships/hyperlink" Id="rId23"/>
    <Relationship TargetMode="External" Target="https://www.legis.iowa.gov/docs/iac/rule/481.572.14.pdf" Type="http://schemas.openxmlformats.org/officeDocument/2006/relationships/hyperlink" Id="rId24"/>
    <Relationship TargetMode="External" Target="https://www.legis.iowa.gov/docs/iac/rule/481.572.15.pdf" Type="http://schemas.openxmlformats.org/officeDocument/2006/relationships/hyperlink" Id="rId25"/>
    <Relationship TargetMode="External" Target="https://www.legis.iowa.gov/docs/iac/chapter/481.579.pdf" Type="http://schemas.openxmlformats.org/officeDocument/2006/relationships/hyperlink" Id="rId26"/>
    <Relationship TargetMode="External" Target="https://www.legis.iowa.gov/docs/iac/rule/481.572.22.pdf" Type="http://schemas.openxmlformats.org/officeDocument/2006/relationships/hyperlink" Id="rId27"/>
    <Relationship TargetMode="External" Target="https://www.legis.iowa.gov/docs/iac/rule/481.572.23.pdf" Type="http://schemas.openxmlformats.org/officeDocument/2006/relationships/hyperlink" Id="rId28"/>
    <Relationship TargetMode="External" Target="https://www.legis.iowa.gov/docs/iac/chapter/481.579.pdf" Type="http://schemas.openxmlformats.org/officeDocument/2006/relationships/hyperlink" Id="rId29"/>
    <Relationship TargetMode="External" Target="https://www.legis.iowa.gov/docs/iac/chapter/481.571.pdf" Type="http://schemas.openxmlformats.org/officeDocument/2006/relationships/hyperlink" Id="rId30"/>
    <Relationship TargetMode="External" Target="https://www.legis.iowa.gov/docs/iac/chapter/481.579.pdf" Type="http://schemas.openxmlformats.org/officeDocument/2006/relationships/hyperlink" Id="rId31"/>
    <Relationship TargetMode="External" Target="https://www.legis.iowa.gov/docs/iac/chapter/481.579.pdf" Type="http://schemas.openxmlformats.org/officeDocument/2006/relationships/hyperlink" Id="rId32"/>
    <Relationship TargetMode="External" Target="https://www.legis.iowa.gov/docs/iac/rule/481.572.23.pdf" Type="http://schemas.openxmlformats.org/officeDocument/2006/relationships/hyperlink" Id="rId33"/>
    <Relationship TargetMode="External" Target="https://www.legis.iowa.gov/docs/iac/chapter/481.571.pdf" Type="http://schemas.openxmlformats.org/officeDocument/2006/relationships/hyperlink" Id="rId34"/>
    <Relationship TargetMode="External" Target="https://www.legis.iowa.gov/docs/ico/chapter/147.10.pdf" Type="http://schemas.openxmlformats.org/officeDocument/2006/relationships/hyperlink" Id="rId35"/>
    <Relationship TargetMode="External" Target="https://www.legis.iowa.gov/docs/ico/chapter/147.11.pdf" Type="http://schemas.openxmlformats.org/officeDocument/2006/relationships/hyperlink" Id="rId36"/>
    <Relationship TargetMode="External" Target="https://www.legis.iowa.gov/docs/ico/chapter/272C.3.pdf" Type="http://schemas.openxmlformats.org/officeDocument/2006/relationships/hyperlink" Id="rId37"/>
    <Relationship TargetMode="External" Target="https://www.legis.iowa.gov/docs/iac/rule/481.572.20.pdf" Type="http://schemas.openxmlformats.org/officeDocument/2006/relationships/hyperlink" Id="rId38"/>
    <Relationship TargetMode="External" Target="https://www.legis.iowa.gov/docs/iac/rule/481.572.21.pdf" Type="http://schemas.openxmlformats.org/officeDocument/2006/relationships/hyperlink" Id="rId39"/>
    <Relationship TargetMode="External" Target="https://www.legis.iowa.gov/docs/iac/rule/481.572.12.pdf" Type="http://schemas.openxmlformats.org/officeDocument/2006/relationships/hyperlink" Id="rId40"/>
    <Relationship TargetMode="External" Target="https://www.legis.iowa.gov/docs/iac/rule/481.579.8.pdf" Type="http://schemas.openxmlformats.org/officeDocument/2006/relationships/hyperlink" Id="rId41"/>
    <Relationship TargetMode="External" Target="https://www.legis.iowa.gov/docs/iac/rule/481.579.9.pdf" Type="http://schemas.openxmlformats.org/officeDocument/2006/relationships/hyperlink" Id="rId42"/>
    <Relationship TargetMode="External" Target="https://www.legis.iowa.gov/docs/iac/rule/481.579.8.pdf" Type="http://schemas.openxmlformats.org/officeDocument/2006/relationships/hyperlink" Id="rId43"/>
    <Relationship TargetMode="External" Target="https://www.legis.iowa.gov/docs/iac/rule/481.579.9.pdf" Type="http://schemas.openxmlformats.org/officeDocument/2006/relationships/hyperlink" Id="rId44"/>
    <Relationship TargetMode="External" Target="https://www.legis.iowa.gov/docs/iac/chapter/481.579.pdf" Type="http://schemas.openxmlformats.org/officeDocument/2006/relationships/hyperlink" Id="rId45"/>
    <Relationship TargetMode="External" Target="https://www.legis.iowa.gov/docs/iac/rule/481.579.9.pdf" Type="http://schemas.openxmlformats.org/officeDocument/2006/relationships/hyperlink" Id="rId46"/>
    <Relationship TargetMode="External" Target="https://www.legis.iowa.gov/docs/iac/chapter/481.571.pdf" Type="http://schemas.openxmlformats.org/officeDocument/2006/relationships/hyperlink" Id="rId47"/>
    <Relationship TargetMode="External" Target="https://www.legis.iowa.gov/docs/iac/rule/481.572.11.pdf" Type="http://schemas.openxmlformats.org/officeDocument/2006/relationships/hyperlink" Id="rId48"/>
    <Relationship TargetMode="External" Target="https://www.legis.iowa.gov/docs/iac/rule/481.572.11.pdf" Type="http://schemas.openxmlformats.org/officeDocument/2006/relationships/hyperlink" Id="rId49"/>
    <Relationship TargetMode="External" Target="https://www.legis.iowa.gov/docs/iac/rule/481.579.6.pdf" Type="http://schemas.openxmlformats.org/officeDocument/2006/relationships/hyperlink" Id="rId50"/>
    <Relationship TargetMode="External" Target="https://www.legis.iowa.gov/docs/iac/rule/481.579.7.pdf" Type="http://schemas.openxmlformats.org/officeDocument/2006/relationships/hyperlink" Id="rId51"/>
    <Relationship Target="footer.xml" Type="http://schemas.openxmlformats.org/officeDocument/2006/relationships/footer"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